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3C544BAE" w:rsidR="00DB7E86" w:rsidRPr="00962680" w:rsidRDefault="00DB7E86" w:rsidP="00DB7E86">
      <w:pPr>
        <w:pStyle w:val="CRCoverPage"/>
        <w:tabs>
          <w:tab w:val="right" w:pos="9639"/>
        </w:tabs>
        <w:spacing w:after="0"/>
        <w:rPr>
          <w:rFonts w:eastAsiaTheme="minorEastAsia" w:cs="Arial"/>
          <w:b/>
          <w:iCs/>
          <w:sz w:val="24"/>
          <w:szCs w:val="18"/>
          <w:highlight w:val="yellow"/>
          <w:lang w:val="en-US" w:eastAsia="zh-CN"/>
        </w:rPr>
      </w:pPr>
      <w:bookmarkStart w:id="0" w:name="_Hlk19781073"/>
      <w:bookmarkStart w:id="1" w:name="OLE_LINK2"/>
      <w:bookmarkStart w:id="2" w:name="_Hlk19781143"/>
      <w:r w:rsidRPr="002A7376">
        <w:rPr>
          <w:rFonts w:cs="Arial"/>
          <w:b/>
          <w:bCs/>
          <w:sz w:val="24"/>
          <w:szCs w:val="24"/>
        </w:rPr>
        <w:t>3GPP TSG-RAN WG3 Meeting #</w:t>
      </w:r>
      <w:r w:rsidR="00776AB5" w:rsidRPr="002A7376">
        <w:rPr>
          <w:rFonts w:cs="Arial"/>
          <w:b/>
          <w:bCs/>
          <w:sz w:val="24"/>
          <w:szCs w:val="24"/>
        </w:rPr>
        <w:t>129 bis</w:t>
      </w:r>
      <w:r w:rsidRPr="002A7376">
        <w:rPr>
          <w:rFonts w:cs="Arial"/>
          <w:b/>
          <w:i/>
          <w:sz w:val="28"/>
        </w:rPr>
        <w:tab/>
      </w:r>
      <w:r w:rsidRPr="002A7376">
        <w:rPr>
          <w:rFonts w:cs="Arial"/>
          <w:b/>
          <w:iCs/>
          <w:sz w:val="24"/>
          <w:szCs w:val="18"/>
        </w:rPr>
        <w:t xml:space="preserve">        </w:t>
      </w:r>
      <w:r w:rsidRPr="002A7376">
        <w:rPr>
          <w:rFonts w:cs="Arial"/>
          <w:b/>
          <w:iCs/>
          <w:sz w:val="24"/>
          <w:szCs w:val="18"/>
          <w:lang w:val="en-US"/>
        </w:rPr>
        <w:t xml:space="preserve">  </w:t>
      </w:r>
      <w:r w:rsidRPr="002A7376">
        <w:rPr>
          <w:rFonts w:eastAsia="宋体" w:cs="Arial"/>
          <w:b/>
          <w:iCs/>
          <w:sz w:val="24"/>
          <w:szCs w:val="18"/>
          <w:lang w:val="en-US" w:eastAsia="zh-CN"/>
        </w:rPr>
        <w:t xml:space="preserve">   </w:t>
      </w:r>
      <w:r w:rsidRPr="002A7376">
        <w:rPr>
          <w:rFonts w:cs="Arial"/>
          <w:b/>
          <w:iCs/>
          <w:sz w:val="24"/>
          <w:szCs w:val="18"/>
        </w:rPr>
        <w:t>R3-</w:t>
      </w:r>
      <w:r w:rsidR="00962680">
        <w:rPr>
          <w:rFonts w:eastAsiaTheme="minorEastAsia" w:cs="Arial" w:hint="eastAsia"/>
          <w:b/>
          <w:iCs/>
          <w:sz w:val="24"/>
          <w:szCs w:val="18"/>
          <w:lang w:eastAsia="zh-CN"/>
        </w:rPr>
        <w:t>256853</w:t>
      </w:r>
    </w:p>
    <w:bookmarkEnd w:id="0"/>
    <w:bookmarkEnd w:id="1"/>
    <w:bookmarkEnd w:id="2"/>
    <w:p w14:paraId="3CBDAEFE" w14:textId="77777777" w:rsidR="008500B6" w:rsidRPr="002A7376" w:rsidRDefault="008500B6" w:rsidP="008500B6">
      <w:pPr>
        <w:pStyle w:val="3gpptitlecitytdocnumber"/>
        <w:spacing w:line="240" w:lineRule="auto"/>
        <w:rPr>
          <w:rFonts w:eastAsia="宋体"/>
          <w:sz w:val="28"/>
          <w:szCs w:val="28"/>
          <w:lang w:val="en-US" w:eastAsia="zh-CN"/>
        </w:rPr>
      </w:pPr>
      <w:r w:rsidRPr="002A7376">
        <w:rPr>
          <w:rFonts w:eastAsiaTheme="minorEastAsia"/>
          <w:szCs w:val="24"/>
          <w:lang w:eastAsia="zh-CN"/>
        </w:rPr>
        <w:t>Prague, Czech,</w:t>
      </w:r>
      <w:r w:rsidRPr="002A7376">
        <w:rPr>
          <w:rFonts w:eastAsiaTheme="minorEastAsia"/>
          <w:szCs w:val="24"/>
        </w:rPr>
        <w:t xml:space="preserve"> 13</w:t>
      </w:r>
      <w:r w:rsidRPr="002A7376">
        <w:rPr>
          <w:rFonts w:eastAsiaTheme="minorEastAsia"/>
          <w:szCs w:val="24"/>
          <w:vertAlign w:val="superscript"/>
        </w:rPr>
        <w:t>th</w:t>
      </w:r>
      <w:r w:rsidRPr="002A7376">
        <w:rPr>
          <w:rFonts w:eastAsiaTheme="minorEastAsia"/>
          <w:szCs w:val="24"/>
        </w:rPr>
        <w:t xml:space="preserve"> – 17</w:t>
      </w:r>
      <w:r w:rsidRPr="002A7376">
        <w:rPr>
          <w:rFonts w:eastAsiaTheme="minorEastAsia"/>
          <w:szCs w:val="24"/>
          <w:vertAlign w:val="superscript"/>
        </w:rPr>
        <w:t>th</w:t>
      </w:r>
      <w:r w:rsidRPr="002A7376">
        <w:rPr>
          <w:rFonts w:eastAsiaTheme="minorEastAsia"/>
          <w:szCs w:val="24"/>
        </w:rPr>
        <w:t xml:space="preserve"> Oct 2025</w:t>
      </w:r>
    </w:p>
    <w:p w14:paraId="51C20804" w14:textId="102C59F7" w:rsidR="00DB7E86" w:rsidRPr="002A7376" w:rsidRDefault="00DB7E86" w:rsidP="002A7376">
      <w:pPr>
        <w:pStyle w:val="a"/>
        <w:spacing w:line="240" w:lineRule="auto"/>
        <w:rPr>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.2</w:t>
      </w:r>
    </w:p>
    <w:p w14:paraId="1BBA6A21" w14:textId="77777777" w:rsidR="00DB7E86" w:rsidRPr="002A7376" w:rsidRDefault="00DB7E86" w:rsidP="002A7376">
      <w:pPr>
        <w:pStyle w:val="a"/>
        <w:spacing w:line="240" w:lineRule="auto"/>
      </w:pPr>
      <w:r w:rsidRPr="002A7376">
        <w:t>Source:</w:t>
      </w:r>
      <w:r w:rsidRPr="002A7376">
        <w:tab/>
        <w:t>CMCC</w:t>
      </w:r>
    </w:p>
    <w:p w14:paraId="25D4FAAD" w14:textId="147EF3AD" w:rsidR="0054232F" w:rsidRPr="002A7376" w:rsidRDefault="0054232F" w:rsidP="002A7376">
      <w:pPr>
        <w:pStyle w:val="a"/>
        <w:spacing w:line="240" w:lineRule="auto"/>
      </w:pPr>
      <w:r w:rsidRPr="002A7376">
        <w:t>Title:</w:t>
      </w:r>
      <w:r w:rsidRPr="002A7376">
        <w:tab/>
      </w:r>
      <w:r w:rsidR="00893E98" w:rsidRPr="002A7376">
        <w:t xml:space="preserve">Discussion on </w:t>
      </w:r>
      <w:r w:rsidR="00A30094" w:rsidRPr="002A7376">
        <w:t>RAN-CN Interface Options</w:t>
      </w:r>
      <w:r w:rsidR="00776AB5" w:rsidRPr="002A7376">
        <w:t xml:space="preserve"> </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3B51F1">
      <w:pPr>
        <w:pStyle w:val="Heading1"/>
        <w:spacing w:before="0" w:after="120"/>
      </w:pPr>
      <w:r w:rsidRPr="002135E5">
        <w:t>Introduction</w:t>
      </w:r>
    </w:p>
    <w:p w14:paraId="20FB0938" w14:textId="63D23514" w:rsidR="002A7376"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lang w:eastAsia="zh-CN"/>
        </w:rPr>
        <w:t>A new study item was agreed at RAN#</w:t>
      </w:r>
      <w:r w:rsidRPr="002A7376">
        <w:rPr>
          <w:rFonts w:ascii="Times New Roman" w:eastAsiaTheme="minorEastAsia" w:hAnsi="Times New Roman" w:hint="eastAsia"/>
          <w:lang w:eastAsia="zh-CN"/>
        </w:rPr>
        <w:t>108</w:t>
      </w:r>
      <w:r w:rsidRPr="002A7376">
        <w:rPr>
          <w:rFonts w:ascii="Times New Roman" w:eastAsiaTheme="minorEastAsia" w:hAnsi="Times New Roman"/>
          <w:lang w:eastAsia="zh-CN"/>
        </w:rPr>
        <w:t xml:space="preserve"> that aims to develop a one non-backward compatible radio access technology (hereafter “6GR”) to meet a broad range of use cases, and requirements as defined during the RAN requirements study </w:t>
      </w:r>
      <w:r w:rsidRPr="002A7376">
        <w:rPr>
          <w:rFonts w:ascii="Times New Roman" w:eastAsiaTheme="minorEastAsia" w:hAnsi="Times New Roman" w:hint="eastAsia"/>
          <w:lang w:eastAsia="zh-CN"/>
        </w:rPr>
        <w:t xml:space="preserve">in </w:t>
      </w:r>
      <w:r w:rsidRPr="002A7376">
        <w:rPr>
          <w:rFonts w:ascii="Times New Roman" w:eastAsiaTheme="minorEastAsia" w:hAnsi="Times New Roman"/>
          <w:lang w:eastAsia="zh-CN"/>
        </w:rPr>
        <w:t>TR38.914.</w:t>
      </w:r>
    </w:p>
    <w:p w14:paraId="599D728C" w14:textId="77777777" w:rsidR="002A7376"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hint="eastAsia"/>
          <w:lang w:eastAsia="zh-CN"/>
        </w:rPr>
        <w:t xml:space="preserve">One of the </w:t>
      </w:r>
      <w:r w:rsidRPr="002A7376">
        <w:rPr>
          <w:rFonts w:ascii="Times New Roman" w:eastAsiaTheme="minorEastAsia" w:hAnsi="Times New Roman"/>
          <w:lang w:eastAsia="zh-CN"/>
        </w:rPr>
        <w:t>objectives</w:t>
      </w:r>
      <w:r w:rsidRPr="002A7376">
        <w:rPr>
          <w:rFonts w:ascii="Times New Roman" w:eastAsiaTheme="minorEastAsia" w:hAnsi="Times New Roman" w:hint="eastAsia"/>
          <w:lang w:eastAsia="zh-CN"/>
        </w:rPr>
        <w:t xml:space="preserve"> </w:t>
      </w:r>
      <w:r w:rsidRPr="002A7376">
        <w:rPr>
          <w:rFonts w:ascii="Times New Roman" w:eastAsiaTheme="minorEastAsia" w:hAnsi="Times New Roman"/>
          <w:lang w:eastAsia="zh-CN"/>
        </w:rPr>
        <w:t>of the study</w:t>
      </w:r>
      <w:r w:rsidRPr="002A7376">
        <w:rPr>
          <w:rFonts w:ascii="Times New Roman" w:eastAsiaTheme="minorEastAsia" w:hAnsi="Times New Roman" w:hint="eastAsia"/>
          <w:lang w:eastAsia="zh-CN"/>
        </w:rPr>
        <w:t xml:space="preserve"> is:</w:t>
      </w:r>
    </w:p>
    <w:p w14:paraId="08405076" w14:textId="77777777" w:rsidR="002A7376" w:rsidRPr="002A7376" w:rsidRDefault="002A7376" w:rsidP="00A14517">
      <w:pPr>
        <w:numPr>
          <w:ilvl w:val="0"/>
          <w:numId w:val="160"/>
        </w:numPr>
        <w:spacing w:after="60"/>
        <w:rPr>
          <w:rFonts w:ascii="Times New Roman" w:eastAsiaTheme="minorEastAsia" w:hAnsi="Times New Roman"/>
          <w:lang w:eastAsia="zh-CN"/>
        </w:rPr>
      </w:pPr>
      <w:r w:rsidRPr="002A7376">
        <w:rPr>
          <w:rFonts w:ascii="Times New Roman" w:eastAsiaTheme="minorEastAsia" w:hAnsi="Times New Roman"/>
          <w:lang w:eastAsia="zh-CN"/>
        </w:rPr>
        <w:t xml:space="preserve">Radio Access Network architecture, interface protocols and procedures considering support of various services and </w:t>
      </w:r>
      <w:r w:rsidRPr="002A7376">
        <w:rPr>
          <w:rFonts w:ascii="Times New Roman" w:eastAsiaTheme="minorEastAsia" w:hAnsi="Times New Roman" w:hint="eastAsia"/>
          <w:lang w:eastAsia="zh-CN"/>
        </w:rPr>
        <w:t>functionalities</w:t>
      </w:r>
      <w:r w:rsidRPr="002A7376">
        <w:rPr>
          <w:rFonts w:ascii="Times New Roman" w:eastAsiaTheme="minorEastAsia" w:hAnsi="Times New Roman"/>
          <w:lang w:eastAsia="zh-CN"/>
        </w:rPr>
        <w:t xml:space="preserve"> (e.g. AI/ML, sensing, etc). [RAN3, RAN2]</w:t>
      </w:r>
    </w:p>
    <w:p w14:paraId="265B6C0D"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Overall RAN architecture aspects</w:t>
      </w:r>
      <w:r w:rsidRPr="002A7376">
        <w:rPr>
          <w:rFonts w:ascii="Times New Roman" w:eastAsiaTheme="minorEastAsia" w:hAnsi="Times New Roman" w:hint="eastAsia"/>
          <w:lang w:eastAsia="zh-CN"/>
        </w:rPr>
        <w:t xml:space="preserve"> </w:t>
      </w:r>
      <w:r w:rsidRPr="002A7376">
        <w:rPr>
          <w:rFonts w:ascii="Times New Roman" w:eastAsiaTheme="minorEastAsia" w:hAnsi="Times New Roman"/>
          <w:lang w:eastAsia="zh-CN"/>
        </w:rPr>
        <w:t>[RAN3, RAN2]</w:t>
      </w:r>
    </w:p>
    <w:p w14:paraId="1C4CF682"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RAN-CN functional split, interface, protocol stack and procedures [RAN3]</w:t>
      </w:r>
    </w:p>
    <w:p w14:paraId="4F998D27"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RAN internal functional split, interfaces, protocol stacks and procedures, [RAN3, RAN2]</w:t>
      </w:r>
    </w:p>
    <w:p w14:paraId="5329895B" w14:textId="228FC2BD" w:rsidR="00A30094"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hint="eastAsia"/>
          <w:lang w:eastAsia="zh-CN"/>
        </w:rPr>
        <w:t xml:space="preserve">One of the items in the above objective is </w:t>
      </w:r>
      <w:r w:rsidRPr="002A7376">
        <w:rPr>
          <w:rFonts w:ascii="Times New Roman" w:eastAsiaTheme="minorEastAsia" w:hAnsi="Times New Roman"/>
          <w:lang w:eastAsia="zh-CN"/>
        </w:rPr>
        <w:t xml:space="preserve">the study of RAN-CN functional split, interface, protocol stack and procedures </w:t>
      </w:r>
      <w:r w:rsidRPr="002A7376">
        <w:rPr>
          <w:rFonts w:ascii="Times New Roman" w:eastAsiaTheme="minorEastAsia" w:hAnsi="Times New Roman" w:hint="eastAsia"/>
          <w:lang w:eastAsia="zh-CN"/>
        </w:rPr>
        <w:t xml:space="preserve">to support of various services and functionalities </w:t>
      </w:r>
      <w:r w:rsidRPr="002A7376">
        <w:rPr>
          <w:rFonts w:ascii="Times New Roman" w:eastAsiaTheme="minorEastAsia" w:hAnsi="Times New Roman"/>
          <w:lang w:eastAsia="zh-CN"/>
        </w:rPr>
        <w:t>(e.g. AI/ML, sensing, etc).</w:t>
      </w:r>
      <w:r w:rsidRPr="002A7376">
        <w:rPr>
          <w:rFonts w:ascii="Times New Roman" w:eastAsiaTheme="minorEastAsia" w:hAnsi="Times New Roman" w:hint="eastAsia"/>
          <w:lang w:eastAsia="zh-CN"/>
        </w:rPr>
        <w:t xml:space="preserve"> </w:t>
      </w:r>
      <w:r w:rsidR="00A30094" w:rsidRPr="002135E5">
        <w:rPr>
          <w:rFonts w:ascii="Times New Roman" w:eastAsia="Times New Roman" w:hAnsi="Times New Roman"/>
        </w:rPr>
        <w:t xml:space="preserve">This contribution discusses the principal interface architecture options for the RAN-CN interface in 6G. Based on operational experience and technical analysis of different service requirements, two complementary interface approaches are described: Point-to-Point (P2P) interface for </w:t>
      </w:r>
      <w:r>
        <w:rPr>
          <w:rFonts w:ascii="Times New Roman" w:eastAsiaTheme="minorEastAsia" w:hAnsi="Times New Roman" w:hint="eastAsia"/>
          <w:lang w:eastAsia="zh-CN"/>
        </w:rPr>
        <w:t xml:space="preserve">legacy communication </w:t>
      </w:r>
      <w:r w:rsidR="00A30094" w:rsidRPr="002135E5">
        <w:rPr>
          <w:rFonts w:ascii="Times New Roman" w:eastAsia="Times New Roman" w:hAnsi="Times New Roman"/>
        </w:rPr>
        <w:t>functions and Service-Based Interface (SBI) for new 6G services. This contribution focuses on describing the main characteristics of each option without evaluation or comparison at this stage.</w:t>
      </w:r>
    </w:p>
    <w:p w14:paraId="7B875573" w14:textId="2F48E174" w:rsidR="00A30094" w:rsidRPr="002135E5" w:rsidRDefault="00A30094" w:rsidP="003B51F1">
      <w:pPr>
        <w:pStyle w:val="Heading1"/>
        <w:spacing w:before="0" w:after="60"/>
      </w:pPr>
      <w:r w:rsidRPr="002135E5">
        <w:t>Discussion</w:t>
      </w:r>
    </w:p>
    <w:p w14:paraId="11E6247A" w14:textId="0EF84BF8" w:rsidR="00A30094" w:rsidRPr="002135E5" w:rsidRDefault="00A30094" w:rsidP="003B51F1">
      <w:pPr>
        <w:pStyle w:val="Heading2"/>
        <w:spacing w:before="0" w:after="60"/>
      </w:pPr>
      <w:r w:rsidRPr="002135E5">
        <w:t>Point-to-Point Interface Option</w:t>
      </w:r>
    </w:p>
    <w:p w14:paraId="45120DFF" w14:textId="3CD0675B" w:rsidR="00A30094" w:rsidRPr="002135E5" w:rsidRDefault="00A30094" w:rsidP="002A7376">
      <w:pPr>
        <w:spacing w:after="60"/>
        <w:rPr>
          <w:rFonts w:ascii="Times New Roman" w:eastAsia="Times New Roman" w:hAnsi="Times New Roman"/>
        </w:rPr>
      </w:pPr>
      <w:r w:rsidRPr="002135E5">
        <w:rPr>
          <w:rFonts w:ascii="Times New Roman" w:eastAsia="Times New Roman" w:hAnsi="Times New Roman"/>
        </w:rPr>
        <w:t>The NG interface between RAN and CN in 5G is well designed for core network functions such as mobility management, session establishment, and</w:t>
      </w:r>
      <w:r w:rsidR="002A7376">
        <w:rPr>
          <w:rFonts w:ascii="Times New Roman" w:eastAsiaTheme="minorEastAsia" w:hAnsi="Times New Roman" w:hint="eastAsia"/>
          <w:lang w:eastAsia="zh-CN"/>
        </w:rPr>
        <w:t xml:space="preserve"> UE context management</w:t>
      </w:r>
      <w:r w:rsidR="001E19D0">
        <w:rPr>
          <w:rFonts w:ascii="Times New Roman" w:eastAsiaTheme="minorEastAsia" w:hAnsi="Times New Roman" w:hint="eastAsia"/>
          <w:lang w:eastAsia="zh-CN"/>
        </w:rPr>
        <w:t>, etc</w:t>
      </w:r>
      <w:r w:rsidRPr="002135E5">
        <w:rPr>
          <w:rFonts w:ascii="Times New Roman" w:eastAsia="Times New Roman" w:hAnsi="Times New Roman"/>
        </w:rPr>
        <w:t>. These functions have been deployed and optimized over years of operational experience, achieving mature multi-vendor interoperability and predictable performance. The operational and technical characteristics of these functions are well understood and continue to meet all requirements effectively.</w:t>
      </w:r>
    </w:p>
    <w:p w14:paraId="60AFD9E2" w14:textId="4AEEFDDF" w:rsidR="00A30094" w:rsidRPr="002135E5" w:rsidRDefault="00A30094" w:rsidP="002A7376">
      <w:pPr>
        <w:spacing w:after="60"/>
        <w:rPr>
          <w:rFonts w:ascii="Times New Roman" w:eastAsia="Times New Roman" w:hAnsi="Times New Roman"/>
        </w:rPr>
      </w:pPr>
      <w:r w:rsidRPr="002135E5">
        <w:rPr>
          <w:rFonts w:ascii="Times New Roman" w:eastAsia="Times New Roman" w:hAnsi="Times New Roman"/>
        </w:rPr>
        <w:t xml:space="preserve">The P2P interface architecture is characterized by direct connections between network functions, utilizing established protocols such as NGAP </w:t>
      </w:r>
      <w:r w:rsidR="004B1277">
        <w:rPr>
          <w:rFonts w:ascii="Times New Roman" w:eastAsiaTheme="minorEastAsia" w:hAnsi="Times New Roman" w:hint="eastAsia"/>
          <w:lang w:eastAsia="zh-CN"/>
        </w:rPr>
        <w:t>perform point-to-point communication</w:t>
      </w:r>
      <w:r w:rsidRPr="002135E5">
        <w:rPr>
          <w:rFonts w:ascii="Times New Roman" w:eastAsia="Times New Roman" w:hAnsi="Times New Roman"/>
        </w:rPr>
        <w:t xml:space="preserve">. This architecture provides deterministic latency and predictable </w:t>
      </w:r>
      <w:proofErr w:type="spellStart"/>
      <w:r w:rsidRPr="002135E5">
        <w:rPr>
          <w:rFonts w:ascii="Times New Roman" w:eastAsia="Times New Roman" w:hAnsi="Times New Roman"/>
        </w:rPr>
        <w:t>behavior</w:t>
      </w:r>
      <w:proofErr w:type="spellEnd"/>
      <w:r w:rsidRPr="002135E5">
        <w:rPr>
          <w:rFonts w:ascii="Times New Roman" w:eastAsia="Times New Roman" w:hAnsi="Times New Roman"/>
        </w:rPr>
        <w:t>, which are essential characteristics for time-critical procedures such as handovers. The stability of P2P connections has been proven through extensive field deployment, and the industry has developed comprehensive tooling and operational procedures around this interface model. The traffic patterns of traditional core network functions, which are procedure-based and relatively predictable, are well-suited to the characteristics of P2P interfaces.</w:t>
      </w:r>
    </w:p>
    <w:p w14:paraId="5546A2AB" w14:textId="77777777" w:rsidR="00A30094" w:rsidRPr="002135E5" w:rsidRDefault="00A30094" w:rsidP="002A7376">
      <w:pPr>
        <w:spacing w:after="60"/>
        <w:rPr>
          <w:rFonts w:ascii="Times New Roman" w:eastAsia="Times New Roman" w:hAnsi="Times New Roman"/>
        </w:rPr>
      </w:pPr>
      <w:r w:rsidRPr="002135E5">
        <w:rPr>
          <w:rFonts w:ascii="Times New Roman" w:eastAsia="Times New Roman" w:hAnsi="Times New Roman"/>
        </w:rPr>
        <w:t xml:space="preserve">For procedures like mobility management and session establishment, networks rely on the predictable </w:t>
      </w:r>
      <w:proofErr w:type="spellStart"/>
      <w:r w:rsidRPr="002135E5">
        <w:rPr>
          <w:rFonts w:ascii="Times New Roman" w:eastAsia="Times New Roman" w:hAnsi="Times New Roman"/>
        </w:rPr>
        <w:t>behavior</w:t>
      </w:r>
      <w:proofErr w:type="spellEnd"/>
      <w:r w:rsidRPr="002135E5">
        <w:rPr>
          <w:rFonts w:ascii="Times New Roman" w:eastAsia="Times New Roman" w:hAnsi="Times New Roman"/>
        </w:rPr>
        <w:t xml:space="preserve"> and performance certainty of direct P2P connections. These procedures have been refined over multiple generations of mobile networks, and the current architecture represents a stable foundation that protects significant industry investment in </w:t>
      </w:r>
      <w:r w:rsidRPr="002135E5">
        <w:rPr>
          <w:rFonts w:ascii="Times New Roman" w:eastAsia="Times New Roman" w:hAnsi="Times New Roman"/>
        </w:rPr>
        <w:lastRenderedPageBreak/>
        <w:t>infrastructure, expertise, and multi-vendor ecosystems. The operational teams are trained on these procedures, monitoring tools are mature, and troubleshooting methodologies are well established.</w:t>
      </w:r>
    </w:p>
    <w:p w14:paraId="11DB65B9" w14:textId="3F9B9955" w:rsidR="00A30094" w:rsidRPr="00FF15C6" w:rsidRDefault="00A30094" w:rsidP="00FF15C6">
      <w:pPr>
        <w:pStyle w:val="Proposal"/>
        <w:spacing w:after="60"/>
        <w:ind w:left="0" w:firstLine="0"/>
        <w:jc w:val="both"/>
        <w:rPr>
          <w:sz w:val="20"/>
        </w:rPr>
      </w:pPr>
      <w:r w:rsidRPr="00FF15C6">
        <w:rPr>
          <w:sz w:val="20"/>
        </w:rPr>
        <w:t>Explicitly exclude existing core network functions (e.g., mobility management, session management,</w:t>
      </w:r>
      <w:r w:rsidR="002A7376" w:rsidRPr="00FF15C6">
        <w:rPr>
          <w:rFonts w:eastAsiaTheme="minorEastAsia" w:hint="eastAsia"/>
          <w:sz w:val="20"/>
          <w:lang w:eastAsia="zh-CN"/>
        </w:rPr>
        <w:t xml:space="preserve"> UE context management</w:t>
      </w:r>
      <w:r w:rsidRPr="00FF15C6">
        <w:rPr>
          <w:sz w:val="20"/>
        </w:rPr>
        <w:t>) from any potential mandate to migrate to an SBI architecture. The P2P interface shall remain the baseline for these functions.</w:t>
      </w:r>
    </w:p>
    <w:p w14:paraId="28DA1764" w14:textId="27153818" w:rsidR="00A30094" w:rsidRPr="0038594B" w:rsidRDefault="00A30094" w:rsidP="00F83227">
      <w:pPr>
        <w:pStyle w:val="Heading2"/>
        <w:spacing w:before="60" w:after="60"/>
      </w:pPr>
      <w:r w:rsidRPr="0038594B">
        <w:t>Service-Based Interface Option</w:t>
      </w:r>
    </w:p>
    <w:p w14:paraId="51C01F1C" w14:textId="77777777" w:rsidR="00A30094" w:rsidRPr="002135E5" w:rsidRDefault="00A30094" w:rsidP="0038594B">
      <w:pPr>
        <w:spacing w:after="60"/>
        <w:rPr>
          <w:rFonts w:ascii="Times New Roman" w:eastAsia="Times New Roman" w:hAnsi="Times New Roman"/>
        </w:rPr>
      </w:pPr>
      <w:r w:rsidRPr="002135E5">
        <w:rPr>
          <w:rFonts w:ascii="Times New Roman" w:eastAsia="Times New Roman" w:hAnsi="Times New Roman"/>
        </w:rPr>
        <w:t>While traditional communication procedures benefit from P2P stability, emerging data-centric services such as AI and ISAC have fundamentally different requirements that P2P interfaces cannot efficiently address. These new services are characterized by dynamic and highly variable data flows, diverse computational demands, and the need for complex service orchestration. AI services such as model training and inference require the ability to dynamically discover and bind to appropriate processing functions based on real-time conditions and data availability. ISAC services such as UAV detection and predictive optimization need elastic scaling where different components (data collection, inference, analytics) can scale independently based on varying computational demands.</w:t>
      </w:r>
    </w:p>
    <w:p w14:paraId="52764F76" w14:textId="3DD285E5" w:rsidR="00A30094" w:rsidRPr="002135E5" w:rsidRDefault="00A30094" w:rsidP="0038594B">
      <w:pPr>
        <w:spacing w:after="60"/>
        <w:rPr>
          <w:rFonts w:ascii="Times New Roman" w:eastAsia="Times New Roman" w:hAnsi="Times New Roman"/>
        </w:rPr>
      </w:pPr>
      <w:r w:rsidRPr="002135E5">
        <w:rPr>
          <w:rFonts w:ascii="Times New Roman" w:eastAsia="Times New Roman" w:hAnsi="Times New Roman"/>
        </w:rPr>
        <w:t xml:space="preserve">Service-Based Interface architecture is uniquely suited to address these challenges through its core characteristics. The SBI approach enables dynamic discovery and binding, allowing services to automatically locate and connect to appropriate </w:t>
      </w:r>
      <w:r w:rsidR="0038594B">
        <w:rPr>
          <w:rFonts w:ascii="Times New Roman" w:eastAsiaTheme="minorEastAsia" w:hAnsi="Times New Roman" w:hint="eastAsia"/>
          <w:lang w:eastAsia="zh-CN"/>
        </w:rPr>
        <w:t xml:space="preserve">network </w:t>
      </w:r>
      <w:r w:rsidRPr="002135E5">
        <w:rPr>
          <w:rFonts w:ascii="Times New Roman" w:eastAsia="Times New Roman" w:hAnsi="Times New Roman"/>
        </w:rPr>
        <w:t xml:space="preserve">functions based on real-time conditions, ensuring optimal resource use and load balancing. The microservices architecture inherent in SBI aligns with the need for modular components that can scale independently. </w:t>
      </w:r>
      <w:r w:rsidR="0038594B" w:rsidRPr="0038594B">
        <w:rPr>
          <w:rFonts w:ascii="Times New Roman" w:eastAsia="Times New Roman" w:hAnsi="Times New Roman"/>
        </w:rPr>
        <w:t>Communication module can evolve on its own cadence while modulars for new services can be updated frequently to keep pace with the latest innovations.</w:t>
      </w:r>
      <w:r w:rsidR="0038594B">
        <w:rPr>
          <w:rFonts w:ascii="Times New Roman" w:eastAsiaTheme="minorEastAsia" w:hAnsi="Times New Roman" w:hint="eastAsia"/>
          <w:lang w:eastAsia="zh-CN"/>
        </w:rPr>
        <w:t xml:space="preserve"> </w:t>
      </w:r>
      <w:r w:rsidR="00051BED">
        <w:rPr>
          <w:rFonts w:ascii="Times New Roman" w:eastAsiaTheme="minorEastAsia" w:hAnsi="Times New Roman" w:hint="eastAsia"/>
          <w:lang w:eastAsia="zh-CN"/>
        </w:rPr>
        <w:t>Also, e</w:t>
      </w:r>
      <w:r w:rsidRPr="002135E5">
        <w:rPr>
          <w:rFonts w:ascii="Times New Roman" w:eastAsia="Times New Roman" w:hAnsi="Times New Roman"/>
        </w:rPr>
        <w:t>ach service component, whether data collection, inference, or analytics, can be scaled up or down based on its specific computational demands without affecting other components.</w:t>
      </w:r>
    </w:p>
    <w:p w14:paraId="1FD336FD" w14:textId="30C9D265" w:rsidR="00A30094" w:rsidRPr="002135E5" w:rsidRDefault="00A30094" w:rsidP="0038594B">
      <w:pPr>
        <w:spacing w:after="60"/>
        <w:rPr>
          <w:rFonts w:ascii="Times New Roman" w:eastAsia="Times New Roman" w:hAnsi="Times New Roman"/>
        </w:rPr>
      </w:pPr>
      <w:r w:rsidRPr="002135E5">
        <w:rPr>
          <w:rFonts w:ascii="Times New Roman" w:eastAsia="Times New Roman" w:hAnsi="Times New Roman"/>
        </w:rPr>
        <w:t xml:space="preserve">The SBI architecture </w:t>
      </w:r>
      <w:r w:rsidR="00257172">
        <w:rPr>
          <w:rFonts w:ascii="Times New Roman" w:eastAsiaTheme="minorEastAsia" w:hAnsi="Times New Roman" w:hint="eastAsia"/>
          <w:lang w:eastAsia="zh-CN"/>
        </w:rPr>
        <w:t xml:space="preserve">provide a </w:t>
      </w:r>
      <w:r w:rsidR="00257172" w:rsidRPr="00257172">
        <w:rPr>
          <w:rFonts w:ascii="Times New Roman" w:eastAsia="Times New Roman" w:hAnsi="Times New Roman"/>
        </w:rPr>
        <w:t>seamless connection to core network functions, external applications and third-party application</w:t>
      </w:r>
      <w:r w:rsidR="00257172">
        <w:rPr>
          <w:rFonts w:ascii="Times New Roman" w:eastAsiaTheme="minorEastAsia" w:hAnsi="Times New Roman" w:hint="eastAsia"/>
          <w:lang w:eastAsia="zh-CN"/>
        </w:rPr>
        <w:t>.</w:t>
      </w:r>
      <w:r w:rsidRPr="002135E5">
        <w:rPr>
          <w:rFonts w:ascii="Times New Roman" w:eastAsia="Times New Roman" w:hAnsi="Times New Roman"/>
        </w:rPr>
        <w:t xml:space="preserve"> The adoption of RESTful APIs and JSON data formats provides standardized interfaces that simplify integration with third-party services and external applications. This standardization enables the creation of an ecosystem where network capabilities can be exposed as monetizable APIs, supporting new business models beyond traditional connectivity services.</w:t>
      </w:r>
    </w:p>
    <w:p w14:paraId="3779FFE0" w14:textId="7186E642" w:rsidR="00A30094" w:rsidRPr="00EF7A99" w:rsidRDefault="00A30094" w:rsidP="0038594B">
      <w:pPr>
        <w:spacing w:after="60"/>
        <w:rPr>
          <w:rFonts w:ascii="Times New Roman" w:eastAsiaTheme="minorEastAsia" w:hAnsi="Times New Roman"/>
          <w:lang w:eastAsia="zh-CN"/>
        </w:rPr>
      </w:pPr>
      <w:r w:rsidRPr="002135E5">
        <w:rPr>
          <w:rFonts w:ascii="Times New Roman" w:eastAsia="Times New Roman" w:hAnsi="Times New Roman"/>
        </w:rPr>
        <w:t xml:space="preserve">For control plane functions, the SBI architecture supports service discovery, configuration, and orchestration, enabling complex service chaining where multiple functions are dynamically coordinated. For </w:t>
      </w:r>
      <w:r w:rsidR="00962680">
        <w:rPr>
          <w:rFonts w:ascii="Times New Roman" w:eastAsiaTheme="minorEastAsia" w:hAnsi="Times New Roman" w:hint="eastAsia"/>
          <w:lang w:eastAsia="zh-CN"/>
        </w:rPr>
        <w:t>user</w:t>
      </w:r>
      <w:r w:rsidRPr="002135E5">
        <w:rPr>
          <w:rFonts w:ascii="Times New Roman" w:eastAsia="Times New Roman" w:hAnsi="Times New Roman"/>
        </w:rPr>
        <w:t xml:space="preserve"> plane functions, the architecture supports flexible data transport and processing </w:t>
      </w:r>
      <w:r w:rsidR="00257172">
        <w:rPr>
          <w:rFonts w:ascii="Times New Roman" w:eastAsiaTheme="minorEastAsia" w:hAnsi="Times New Roman" w:hint="eastAsia"/>
          <w:lang w:eastAsia="zh-CN"/>
        </w:rPr>
        <w:t>data</w:t>
      </w:r>
      <w:r w:rsidR="00257172" w:rsidRPr="002135E5">
        <w:rPr>
          <w:rFonts w:ascii="Times New Roman" w:eastAsia="Times New Roman" w:hAnsi="Times New Roman"/>
        </w:rPr>
        <w:t>flows</w:t>
      </w:r>
      <w:r w:rsidRPr="002135E5">
        <w:rPr>
          <w:rFonts w:ascii="Times New Roman" w:eastAsia="Times New Roman" w:hAnsi="Times New Roman"/>
        </w:rPr>
        <w:t xml:space="preserve">, accommodating the diverse data formats and processing requirements of different AI and ISAC applications. </w:t>
      </w:r>
    </w:p>
    <w:p w14:paraId="5E5A115C" w14:textId="6CED4B03" w:rsidR="00A30094" w:rsidRPr="00FF15C6" w:rsidRDefault="00A30094" w:rsidP="00B264C1">
      <w:pPr>
        <w:pStyle w:val="Proposal"/>
        <w:spacing w:after="120"/>
        <w:ind w:left="0" w:firstLine="0"/>
        <w:jc w:val="both"/>
        <w:rPr>
          <w:sz w:val="20"/>
        </w:rPr>
      </w:pPr>
      <w:r w:rsidRPr="00FF15C6">
        <w:rPr>
          <w:sz w:val="20"/>
        </w:rPr>
        <w:t>SBI architecture shall be studied for 6G new services such as AI and ISAC that are not efficiently served by the existing P2P RAN-CN interface.</w:t>
      </w:r>
    </w:p>
    <w:p w14:paraId="1CCCFCEA" w14:textId="740CFDF6" w:rsidR="00350670" w:rsidRPr="00FF15C6" w:rsidRDefault="00350670" w:rsidP="00B264C1">
      <w:pPr>
        <w:pStyle w:val="Proposal"/>
        <w:spacing w:after="120"/>
        <w:ind w:left="0" w:firstLine="0"/>
        <w:jc w:val="both"/>
        <w:rPr>
          <w:sz w:val="20"/>
        </w:rPr>
      </w:pPr>
      <w:r w:rsidRPr="00FF15C6">
        <w:rPr>
          <w:sz w:val="20"/>
        </w:rPr>
        <w:t>Communication module can evolve on its own cadence while modulars for new services can be updated frequently to keep pace with the latest innovations.</w:t>
      </w:r>
    </w:p>
    <w:p w14:paraId="4058E039" w14:textId="21DD3256" w:rsidR="00A30094" w:rsidRPr="00FF15C6" w:rsidRDefault="00A30094" w:rsidP="00B264C1">
      <w:pPr>
        <w:pStyle w:val="Proposal"/>
        <w:spacing w:after="120"/>
        <w:ind w:left="0" w:firstLine="0"/>
        <w:jc w:val="both"/>
        <w:rPr>
          <w:sz w:val="20"/>
        </w:rPr>
      </w:pPr>
      <w:r w:rsidRPr="00FF15C6">
        <w:rPr>
          <w:sz w:val="20"/>
        </w:rPr>
        <w:t xml:space="preserve">SBI architecture shall support both control plane functions (service discovery, configuration, orchestration) and </w:t>
      </w:r>
      <w:r w:rsidR="00962680">
        <w:rPr>
          <w:rFonts w:eastAsiaTheme="minorEastAsia" w:hint="eastAsia"/>
          <w:sz w:val="20"/>
          <w:lang w:eastAsia="zh-CN"/>
        </w:rPr>
        <w:t>user</w:t>
      </w:r>
      <w:r w:rsidRPr="00FF15C6">
        <w:rPr>
          <w:sz w:val="20"/>
        </w:rPr>
        <w:t xml:space="preserve"> plane functions (data transport, processing </w:t>
      </w:r>
      <w:r w:rsidR="00257172" w:rsidRPr="00FF15C6">
        <w:rPr>
          <w:rFonts w:eastAsiaTheme="minorEastAsia" w:hint="eastAsia"/>
          <w:sz w:val="20"/>
          <w:lang w:eastAsia="zh-CN"/>
        </w:rPr>
        <w:t>data</w:t>
      </w:r>
      <w:r w:rsidRPr="00FF15C6">
        <w:rPr>
          <w:sz w:val="20"/>
        </w:rPr>
        <w:t>flows) for new services.</w:t>
      </w:r>
    </w:p>
    <w:p w14:paraId="2C9EB077" w14:textId="407FBD29" w:rsidR="00A30094" w:rsidRPr="00FF15C6" w:rsidRDefault="00A30094" w:rsidP="00B264C1">
      <w:pPr>
        <w:pStyle w:val="Proposal"/>
        <w:spacing w:after="120"/>
        <w:ind w:left="0" w:firstLine="0"/>
        <w:jc w:val="both"/>
        <w:rPr>
          <w:sz w:val="20"/>
        </w:rPr>
      </w:pPr>
      <w:r w:rsidRPr="00FF15C6">
        <w:rPr>
          <w:sz w:val="20"/>
        </w:rPr>
        <w:t>RESTful APIs and JSON data formats shall be adopted for SBI to ensure standardized interaction and ease of integration with third-party services.</w:t>
      </w:r>
    </w:p>
    <w:p w14:paraId="0455601A" w14:textId="292145E3" w:rsidR="00A30094" w:rsidRPr="00F83227" w:rsidRDefault="00A30094" w:rsidP="00F83227">
      <w:pPr>
        <w:pStyle w:val="Heading2"/>
        <w:spacing w:before="60" w:after="60"/>
      </w:pPr>
      <w:r w:rsidRPr="00F83227">
        <w:t>Coexistence and Evolution Considerations</w:t>
      </w:r>
    </w:p>
    <w:p w14:paraId="5A547BFE" w14:textId="34FE7987" w:rsidR="00A30094" w:rsidRPr="002135E5" w:rsidRDefault="00A30094" w:rsidP="00A14517">
      <w:pPr>
        <w:spacing w:after="60"/>
        <w:rPr>
          <w:rFonts w:ascii="Times New Roman" w:eastAsia="Times New Roman" w:hAnsi="Times New Roman"/>
        </w:rPr>
      </w:pPr>
      <w:r w:rsidRPr="002135E5">
        <w:rPr>
          <w:rFonts w:ascii="Times New Roman" w:eastAsia="Times New Roman" w:hAnsi="Times New Roman"/>
        </w:rPr>
        <w:t xml:space="preserve">The most sensible path forward is an approach that leverages the strengths of both interface paradigms. The P2P interface preserves the stable core of the network, protecting the mature and proven architecture for mobility management, session </w:t>
      </w:r>
      <w:r w:rsidRPr="002135E5">
        <w:rPr>
          <w:rFonts w:ascii="Times New Roman" w:eastAsia="Times New Roman" w:hAnsi="Times New Roman"/>
        </w:rPr>
        <w:lastRenderedPageBreak/>
        <w:t>management, and</w:t>
      </w:r>
      <w:r w:rsidR="001E19D0">
        <w:rPr>
          <w:rFonts w:ascii="Times New Roman" w:eastAsiaTheme="minorEastAsia" w:hAnsi="Times New Roman" w:hint="eastAsia"/>
          <w:lang w:eastAsia="zh-CN"/>
        </w:rPr>
        <w:t xml:space="preserve"> UE context management, etc</w:t>
      </w:r>
      <w:r w:rsidRPr="002135E5">
        <w:rPr>
          <w:rFonts w:ascii="Times New Roman" w:eastAsia="Times New Roman" w:hAnsi="Times New Roman"/>
        </w:rPr>
        <w:t>. These functions continue to benefit from the deterministic performance and operational maturity of P2P connections. Meanwhile, the SBI approach enables new services such as AI and ISAC, where its flexibility, dynamic service orchestration, and elastic scaling capabilities provide clear advantages.</w:t>
      </w:r>
    </w:p>
    <w:p w14:paraId="7625A21A" w14:textId="2185064C" w:rsidR="00A30094" w:rsidRPr="002135E5" w:rsidRDefault="00A30094" w:rsidP="00A14517">
      <w:pPr>
        <w:spacing w:after="60"/>
        <w:rPr>
          <w:rFonts w:ascii="Times New Roman" w:eastAsia="Times New Roman" w:hAnsi="Times New Roman"/>
        </w:rPr>
      </w:pPr>
      <w:r w:rsidRPr="002135E5">
        <w:rPr>
          <w:rFonts w:ascii="Times New Roman" w:eastAsia="Times New Roman" w:hAnsi="Times New Roman"/>
        </w:rPr>
        <w:t xml:space="preserve">For this dual-mode approach to succeed, it is imperative that the study addresses the practical aspects of integrating SBI with the existing P2P-based architecture. The coexistence mechanisms must ensure that new SBI-based services and traditional P2P-based network functions can operate concurrently within the same </w:t>
      </w:r>
      <w:r w:rsidR="001E19D0">
        <w:rPr>
          <w:rFonts w:ascii="Times New Roman" w:eastAsiaTheme="minorEastAsia" w:hAnsi="Times New Roman" w:hint="eastAsia"/>
          <w:lang w:eastAsia="zh-CN"/>
        </w:rPr>
        <w:t xml:space="preserve">RAN architecture </w:t>
      </w:r>
      <w:r w:rsidRPr="002135E5">
        <w:rPr>
          <w:rFonts w:ascii="Times New Roman" w:eastAsia="Times New Roman" w:hAnsi="Times New Roman"/>
        </w:rPr>
        <w:t>without interference or unnecessary complexity. The study should investigate how communication and data exchange between the SBI domain (new services) and the P2P domain (traditional core network functions) can be achieved efficiently.</w:t>
      </w:r>
    </w:p>
    <w:p w14:paraId="1CC8AFB1" w14:textId="2F8B6AA4" w:rsidR="00A30094" w:rsidRPr="002135E5" w:rsidRDefault="00A30094" w:rsidP="00A14517">
      <w:pPr>
        <w:spacing w:after="60"/>
        <w:rPr>
          <w:rFonts w:ascii="Times New Roman" w:eastAsia="Times New Roman" w:hAnsi="Times New Roman"/>
        </w:rPr>
      </w:pPr>
      <w:r w:rsidRPr="002135E5">
        <w:rPr>
          <w:rFonts w:ascii="Times New Roman" w:eastAsia="Times New Roman" w:hAnsi="Times New Roman"/>
        </w:rPr>
        <w:t xml:space="preserve">Smooth migration paths </w:t>
      </w:r>
      <w:r w:rsidR="00D631F9">
        <w:rPr>
          <w:rFonts w:ascii="Times New Roman" w:eastAsiaTheme="minorEastAsia" w:hAnsi="Times New Roman" w:hint="eastAsia"/>
          <w:lang w:eastAsia="zh-CN"/>
        </w:rPr>
        <w:t>between RAN and core network</w:t>
      </w:r>
      <w:r w:rsidR="00D631F9" w:rsidRPr="002135E5">
        <w:rPr>
          <w:rFonts w:ascii="Times New Roman" w:eastAsia="Times New Roman" w:hAnsi="Times New Roman"/>
        </w:rPr>
        <w:t xml:space="preserve"> </w:t>
      </w:r>
      <w:r w:rsidRPr="002135E5">
        <w:rPr>
          <w:rFonts w:ascii="Times New Roman" w:eastAsia="Times New Roman" w:hAnsi="Times New Roman"/>
        </w:rPr>
        <w:t xml:space="preserve">are essential for the introduction of new SBI-based services without disrupting existing services or requiring forklift upgrades. The study should explore potential migration scenarios and identify strategies that allow operators to introduce new capabilities incrementally while maintaining operational stability. The design of new SBI-based services </w:t>
      </w:r>
      <w:r w:rsidR="00D631F9">
        <w:rPr>
          <w:rFonts w:ascii="Times New Roman" w:eastAsiaTheme="minorEastAsia" w:hAnsi="Times New Roman" w:hint="eastAsia"/>
          <w:lang w:eastAsia="zh-CN"/>
        </w:rPr>
        <w:t xml:space="preserve">in RAN </w:t>
      </w:r>
      <w:r w:rsidRPr="002135E5">
        <w:rPr>
          <w:rFonts w:ascii="Times New Roman" w:eastAsia="Times New Roman" w:hAnsi="Times New Roman"/>
        </w:rPr>
        <w:t>should ensure seamless coexistence with the</w:t>
      </w:r>
      <w:r w:rsidR="00D631F9">
        <w:rPr>
          <w:rFonts w:ascii="Times New Roman" w:eastAsiaTheme="minorEastAsia" w:hAnsi="Times New Roman" w:hint="eastAsia"/>
          <w:lang w:eastAsia="zh-CN"/>
        </w:rPr>
        <w:t xml:space="preserve"> core network</w:t>
      </w:r>
      <w:r w:rsidRPr="002135E5">
        <w:rPr>
          <w:rFonts w:ascii="Times New Roman" w:eastAsia="Times New Roman" w:hAnsi="Times New Roman"/>
        </w:rPr>
        <w:t>, avoiding unnecessary dependencies between the two domains and minimizing complexity in the overall system architecture.</w:t>
      </w:r>
    </w:p>
    <w:p w14:paraId="1F347980" w14:textId="0296B91C" w:rsidR="00A30094" w:rsidRPr="00A561AF" w:rsidRDefault="00A30094" w:rsidP="00B264C1">
      <w:pPr>
        <w:pStyle w:val="Proposal"/>
        <w:spacing w:after="120"/>
        <w:ind w:left="0" w:firstLine="0"/>
        <w:rPr>
          <w:sz w:val="20"/>
        </w:rPr>
      </w:pPr>
      <w:r w:rsidRPr="00A561AF">
        <w:rPr>
          <w:sz w:val="20"/>
        </w:rPr>
        <w:t xml:space="preserve">The study shall include an analysis of coexistence mechanisms for integrating a potential SBI </w:t>
      </w:r>
      <w:r w:rsidR="00D63D04" w:rsidRPr="00A561AF">
        <w:rPr>
          <w:rFonts w:eastAsiaTheme="minorEastAsia" w:hint="eastAsia"/>
          <w:sz w:val="20"/>
          <w:lang w:eastAsia="zh-CN"/>
        </w:rPr>
        <w:t>interface</w:t>
      </w:r>
      <w:r w:rsidR="00350670" w:rsidRPr="00A561AF">
        <w:rPr>
          <w:rFonts w:eastAsiaTheme="minorEastAsia" w:hint="eastAsia"/>
          <w:sz w:val="20"/>
          <w:lang w:eastAsia="zh-CN"/>
        </w:rPr>
        <w:t xml:space="preserve"> </w:t>
      </w:r>
      <w:r w:rsidRPr="00A561AF">
        <w:rPr>
          <w:sz w:val="20"/>
        </w:rPr>
        <w:t>with the P2P-based</w:t>
      </w:r>
      <w:r w:rsidR="00D63D04" w:rsidRPr="00A561AF">
        <w:rPr>
          <w:rFonts w:eastAsiaTheme="minorEastAsia" w:hint="eastAsia"/>
          <w:sz w:val="20"/>
          <w:lang w:eastAsia="zh-CN"/>
        </w:rPr>
        <w:t xml:space="preserve"> interface</w:t>
      </w:r>
      <w:r w:rsidRPr="00A561AF">
        <w:rPr>
          <w:sz w:val="20"/>
        </w:rPr>
        <w:t>.</w:t>
      </w:r>
    </w:p>
    <w:p w14:paraId="3B25EEA7" w14:textId="6B482848" w:rsidR="00A30094" w:rsidRPr="00A561AF" w:rsidRDefault="00A30094" w:rsidP="00B264C1">
      <w:pPr>
        <w:pStyle w:val="Proposal"/>
        <w:spacing w:after="120"/>
        <w:ind w:left="0" w:firstLine="0"/>
        <w:rPr>
          <w:sz w:val="20"/>
        </w:rPr>
      </w:pPr>
      <w:r w:rsidRPr="00A561AF">
        <w:rPr>
          <w:sz w:val="20"/>
        </w:rPr>
        <w:t xml:space="preserve">Ensure that any new SBI-based services </w:t>
      </w:r>
      <w:r w:rsidR="000352C6" w:rsidRPr="00A561AF">
        <w:rPr>
          <w:rFonts w:eastAsiaTheme="minorEastAsia" w:hint="eastAsia"/>
          <w:sz w:val="20"/>
          <w:lang w:eastAsia="zh-CN"/>
        </w:rPr>
        <w:t xml:space="preserve">in RAN </w:t>
      </w:r>
      <w:r w:rsidRPr="00A561AF">
        <w:rPr>
          <w:sz w:val="20"/>
        </w:rPr>
        <w:t xml:space="preserve">are designed to coexist seamlessly with the </w:t>
      </w:r>
      <w:r w:rsidR="000352C6" w:rsidRPr="00A561AF">
        <w:rPr>
          <w:rFonts w:eastAsiaTheme="minorEastAsia" w:hint="eastAsia"/>
          <w:sz w:val="20"/>
          <w:lang w:eastAsia="zh-CN"/>
        </w:rPr>
        <w:t>core network</w:t>
      </w:r>
      <w:r w:rsidRPr="00A561AF">
        <w:rPr>
          <w:sz w:val="20"/>
        </w:rPr>
        <w:t>, avoiding unnecessary dependencies or complexity.</w:t>
      </w:r>
    </w:p>
    <w:p w14:paraId="39415DA0" w14:textId="0EABFC93" w:rsidR="00A30094" w:rsidRPr="00A14517" w:rsidRDefault="00A30094" w:rsidP="00A14517">
      <w:pPr>
        <w:pStyle w:val="Heading1"/>
        <w:spacing w:before="120" w:after="120"/>
      </w:pPr>
      <w:r w:rsidRPr="00A14517">
        <w:t>Conclusion</w:t>
      </w:r>
    </w:p>
    <w:p w14:paraId="1BB19E9D" w14:textId="77777777" w:rsidR="00A30094" w:rsidRPr="002135E5" w:rsidRDefault="00A30094" w:rsidP="00A14517">
      <w:pPr>
        <w:spacing w:after="60"/>
        <w:rPr>
          <w:rFonts w:ascii="Times New Roman" w:eastAsia="Times New Roman" w:hAnsi="Times New Roman"/>
        </w:rPr>
      </w:pPr>
      <w:r w:rsidRPr="002135E5">
        <w:rPr>
          <w:rFonts w:ascii="Times New Roman" w:eastAsia="Times New Roman" w:hAnsi="Times New Roman"/>
        </w:rPr>
        <w:t>This contribution has described two principal interface architecture options for the RAN-CN interface in 6G: Point-to-Point interface for traditional core network functions and Service-Based Interface for new data-centric services. Both approaches serve distinct purposes and are designed for coexistence. The P2P interface provides the stability and predictable performance required for mobility management and session management, while the SBI architecture provides the flexibility and elastic scaling required for AI and ISAC services. The following proposals are provided:</w:t>
      </w:r>
    </w:p>
    <w:p w14:paraId="0F79B270" w14:textId="07AA7CBA" w:rsidR="00F76E7F" w:rsidRPr="00A561AF" w:rsidRDefault="00350670" w:rsidP="00B264C1">
      <w:pPr>
        <w:pStyle w:val="Proposal"/>
        <w:numPr>
          <w:ilvl w:val="0"/>
          <w:numId w:val="167"/>
        </w:numPr>
        <w:spacing w:after="120"/>
        <w:ind w:left="0" w:firstLine="0"/>
        <w:jc w:val="both"/>
        <w:rPr>
          <w:sz w:val="20"/>
        </w:rPr>
      </w:pPr>
      <w:r w:rsidRPr="00A561AF">
        <w:rPr>
          <w:sz w:val="20"/>
        </w:rPr>
        <w:t>Explicitly exclude existing core network functions (e.g., mobility management, session management,</w:t>
      </w:r>
      <w:r w:rsidRPr="00A561AF">
        <w:rPr>
          <w:rFonts w:eastAsiaTheme="minorEastAsia" w:hint="eastAsia"/>
          <w:sz w:val="20"/>
          <w:lang w:eastAsia="zh-CN"/>
        </w:rPr>
        <w:t xml:space="preserve"> UE context management</w:t>
      </w:r>
      <w:r w:rsidRPr="00A561AF">
        <w:rPr>
          <w:sz w:val="20"/>
        </w:rPr>
        <w:t>) from any potential mandate to migrate to an SBI architecture. The P2P interface shall remain the baseline for these functions.</w:t>
      </w:r>
    </w:p>
    <w:p w14:paraId="5D4A9D22" w14:textId="77777777" w:rsidR="00350670" w:rsidRPr="00A561AF" w:rsidRDefault="00350670" w:rsidP="00B264C1">
      <w:pPr>
        <w:pStyle w:val="Proposal"/>
        <w:numPr>
          <w:ilvl w:val="0"/>
          <w:numId w:val="167"/>
        </w:numPr>
        <w:spacing w:after="120"/>
        <w:ind w:left="0" w:firstLine="0"/>
        <w:jc w:val="both"/>
        <w:rPr>
          <w:sz w:val="20"/>
        </w:rPr>
      </w:pPr>
      <w:r w:rsidRPr="00A561AF">
        <w:rPr>
          <w:sz w:val="20"/>
        </w:rPr>
        <w:t>SBI architecture shall be studied for 6G new services such as AI and ISAC that are not efficiently served by the existing P2P RAN-CN interface.</w:t>
      </w:r>
    </w:p>
    <w:p w14:paraId="127B0070" w14:textId="77777777" w:rsidR="00350670" w:rsidRPr="00A561AF" w:rsidRDefault="00350670" w:rsidP="00B264C1">
      <w:pPr>
        <w:pStyle w:val="Proposal"/>
        <w:numPr>
          <w:ilvl w:val="0"/>
          <w:numId w:val="167"/>
        </w:numPr>
        <w:spacing w:after="120"/>
        <w:ind w:left="0" w:firstLine="0"/>
        <w:jc w:val="both"/>
        <w:rPr>
          <w:sz w:val="20"/>
        </w:rPr>
      </w:pPr>
      <w:r w:rsidRPr="00A561AF">
        <w:rPr>
          <w:sz w:val="20"/>
        </w:rPr>
        <w:t>Communication module can evolve on its own cadence while modulars for new services can be updated frequently to keep pace with the latest innovations.</w:t>
      </w:r>
    </w:p>
    <w:p w14:paraId="13CC8F6C" w14:textId="7B46DE8A" w:rsidR="00350670" w:rsidRPr="00A561AF" w:rsidRDefault="00350670" w:rsidP="00B264C1">
      <w:pPr>
        <w:pStyle w:val="Proposal"/>
        <w:numPr>
          <w:ilvl w:val="0"/>
          <w:numId w:val="167"/>
        </w:numPr>
        <w:spacing w:after="120"/>
        <w:ind w:left="0" w:firstLine="0"/>
        <w:jc w:val="both"/>
        <w:rPr>
          <w:sz w:val="20"/>
        </w:rPr>
      </w:pPr>
      <w:r w:rsidRPr="00A561AF">
        <w:rPr>
          <w:sz w:val="20"/>
        </w:rPr>
        <w:t xml:space="preserve">SBI architecture shall support both control plane functions (service discovery, configuration, orchestration) and </w:t>
      </w:r>
      <w:r w:rsidR="00962680" w:rsidRPr="00A561AF">
        <w:rPr>
          <w:rFonts w:eastAsiaTheme="minorEastAsia" w:hint="eastAsia"/>
          <w:sz w:val="20"/>
          <w:lang w:eastAsia="zh-CN"/>
        </w:rPr>
        <w:t>user</w:t>
      </w:r>
      <w:r w:rsidRPr="00A561AF">
        <w:rPr>
          <w:sz w:val="20"/>
        </w:rPr>
        <w:t xml:space="preserve"> plane functions (data transport, processing </w:t>
      </w:r>
      <w:r w:rsidRPr="00A561AF">
        <w:rPr>
          <w:rFonts w:eastAsiaTheme="minorEastAsia" w:hint="eastAsia"/>
          <w:sz w:val="20"/>
          <w:lang w:eastAsia="zh-CN"/>
        </w:rPr>
        <w:t>data</w:t>
      </w:r>
      <w:r w:rsidRPr="00A561AF">
        <w:rPr>
          <w:sz w:val="20"/>
        </w:rPr>
        <w:t>flows) for new services.</w:t>
      </w:r>
    </w:p>
    <w:p w14:paraId="29A6E7B2" w14:textId="77777777" w:rsidR="00350670" w:rsidRPr="00A561AF" w:rsidRDefault="00350670" w:rsidP="00B264C1">
      <w:pPr>
        <w:pStyle w:val="Proposal"/>
        <w:numPr>
          <w:ilvl w:val="0"/>
          <w:numId w:val="167"/>
        </w:numPr>
        <w:spacing w:after="120"/>
        <w:ind w:left="0" w:firstLine="0"/>
        <w:jc w:val="both"/>
        <w:rPr>
          <w:sz w:val="20"/>
        </w:rPr>
      </w:pPr>
      <w:r w:rsidRPr="00A561AF">
        <w:rPr>
          <w:sz w:val="20"/>
        </w:rPr>
        <w:t>RESTful APIs and JSON data formats shall be adopted for SBI to ensure standardized interaction and ease of integration with third-party services.</w:t>
      </w:r>
    </w:p>
    <w:p w14:paraId="7EFF46FD" w14:textId="77777777" w:rsidR="00350670" w:rsidRPr="00A561AF" w:rsidRDefault="00350670" w:rsidP="00B264C1">
      <w:pPr>
        <w:pStyle w:val="Proposal"/>
        <w:numPr>
          <w:ilvl w:val="0"/>
          <w:numId w:val="167"/>
        </w:numPr>
        <w:spacing w:after="120"/>
        <w:ind w:left="0" w:firstLine="0"/>
        <w:jc w:val="both"/>
        <w:rPr>
          <w:sz w:val="20"/>
        </w:rPr>
      </w:pPr>
      <w:r w:rsidRPr="00A561AF">
        <w:rPr>
          <w:sz w:val="20"/>
        </w:rPr>
        <w:t xml:space="preserve">The study shall include an analysis of coexistence mechanisms for integrating a potential SBI </w:t>
      </w:r>
      <w:r w:rsidRPr="00A561AF">
        <w:rPr>
          <w:rFonts w:eastAsiaTheme="minorEastAsia" w:hint="eastAsia"/>
          <w:sz w:val="20"/>
          <w:lang w:eastAsia="zh-CN"/>
        </w:rPr>
        <w:t xml:space="preserve">interface </w:t>
      </w:r>
      <w:r w:rsidRPr="00A561AF">
        <w:rPr>
          <w:sz w:val="20"/>
        </w:rPr>
        <w:t>with the P2P-based</w:t>
      </w:r>
      <w:r w:rsidRPr="00A561AF">
        <w:rPr>
          <w:rFonts w:eastAsiaTheme="minorEastAsia" w:hint="eastAsia"/>
          <w:sz w:val="20"/>
          <w:lang w:eastAsia="zh-CN"/>
        </w:rPr>
        <w:t xml:space="preserve"> interface</w:t>
      </w:r>
      <w:r w:rsidRPr="00A561AF">
        <w:rPr>
          <w:sz w:val="20"/>
        </w:rPr>
        <w:t>.</w:t>
      </w:r>
    </w:p>
    <w:p w14:paraId="1CCC7171" w14:textId="440EAEC9" w:rsidR="00350670" w:rsidRPr="00A561AF" w:rsidRDefault="00350670" w:rsidP="00B264C1">
      <w:pPr>
        <w:pStyle w:val="Proposal"/>
        <w:numPr>
          <w:ilvl w:val="0"/>
          <w:numId w:val="167"/>
        </w:numPr>
        <w:spacing w:after="120"/>
        <w:ind w:left="0" w:firstLine="0"/>
        <w:jc w:val="both"/>
        <w:rPr>
          <w:sz w:val="20"/>
        </w:rPr>
      </w:pPr>
      <w:r w:rsidRPr="00A561AF">
        <w:rPr>
          <w:sz w:val="20"/>
        </w:rPr>
        <w:t xml:space="preserve">Ensure that any new SBI-based services </w:t>
      </w:r>
      <w:r w:rsidRPr="00A561AF">
        <w:rPr>
          <w:rFonts w:eastAsiaTheme="minorEastAsia" w:hint="eastAsia"/>
          <w:sz w:val="20"/>
          <w:lang w:eastAsia="zh-CN"/>
        </w:rPr>
        <w:t xml:space="preserve">in RAN </w:t>
      </w:r>
      <w:r w:rsidRPr="00A561AF">
        <w:rPr>
          <w:sz w:val="20"/>
        </w:rPr>
        <w:t xml:space="preserve">are designed to coexist seamlessly with the </w:t>
      </w:r>
      <w:r w:rsidRPr="00A561AF">
        <w:rPr>
          <w:rFonts w:eastAsiaTheme="minorEastAsia" w:hint="eastAsia"/>
          <w:sz w:val="20"/>
          <w:lang w:eastAsia="zh-CN"/>
        </w:rPr>
        <w:t>core network</w:t>
      </w:r>
      <w:r w:rsidRPr="00A561AF">
        <w:rPr>
          <w:sz w:val="20"/>
        </w:rPr>
        <w:t>, avoiding unnecessary dependencies or complexity.</w:t>
      </w:r>
    </w:p>
    <w:sectPr w:rsidR="00350670" w:rsidRPr="00A561AF"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1319A" w14:textId="77777777" w:rsidR="00053D4E" w:rsidRDefault="00053D4E">
      <w:r>
        <w:separator/>
      </w:r>
    </w:p>
  </w:endnote>
  <w:endnote w:type="continuationSeparator" w:id="0">
    <w:p w14:paraId="5AB185AE" w14:textId="77777777" w:rsidR="00053D4E" w:rsidRDefault="0005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DCE9" w14:textId="77777777" w:rsidR="00053D4E" w:rsidRDefault="00053D4E">
      <w:r>
        <w:separator/>
      </w:r>
    </w:p>
  </w:footnote>
  <w:footnote w:type="continuationSeparator" w:id="0">
    <w:p w14:paraId="05AFBD43" w14:textId="77777777" w:rsidR="00053D4E" w:rsidRDefault="00053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01D8C"/>
    <w:multiLevelType w:val="multilevel"/>
    <w:tmpl w:val="93C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637102"/>
    <w:multiLevelType w:val="hybridMultilevel"/>
    <w:tmpl w:val="76AE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B449BF"/>
    <w:multiLevelType w:val="multilevel"/>
    <w:tmpl w:val="D154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23EC52FA"/>
    <w:multiLevelType w:val="multilevel"/>
    <w:tmpl w:val="E786A000"/>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556661F"/>
    <w:multiLevelType w:val="multilevel"/>
    <w:tmpl w:val="F63E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1"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26373C"/>
    <w:multiLevelType w:val="multilevel"/>
    <w:tmpl w:val="86D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A417604"/>
    <w:multiLevelType w:val="hybridMultilevel"/>
    <w:tmpl w:val="9992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A04271"/>
    <w:multiLevelType w:val="multilevel"/>
    <w:tmpl w:val="6FA4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69" w15:restartNumberingAfterBreak="0">
    <w:nsid w:val="6EAA4435"/>
    <w:multiLevelType w:val="hybridMultilevel"/>
    <w:tmpl w:val="AA10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7D0F28"/>
    <w:multiLevelType w:val="hybridMultilevel"/>
    <w:tmpl w:val="429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9"/>
  </w:num>
  <w:num w:numId="2" w16cid:durableId="929317424">
    <w:abstractNumId w:val="28"/>
  </w:num>
  <w:num w:numId="3" w16cid:durableId="1341658306">
    <w:abstractNumId w:val="70"/>
  </w:num>
  <w:num w:numId="4" w16cid:durableId="1931816443">
    <w:abstractNumId w:val="63"/>
  </w:num>
  <w:num w:numId="5" w16cid:durableId="1020010807">
    <w:abstractNumId w:val="10"/>
  </w:num>
  <w:num w:numId="6" w16cid:durableId="1691182668">
    <w:abstractNumId w:val="53"/>
  </w:num>
  <w:num w:numId="7" w16cid:durableId="608708262">
    <w:abstractNumId w:val="56"/>
  </w:num>
  <w:num w:numId="8" w16cid:durableId="1232159132">
    <w:abstractNumId w:val="30"/>
  </w:num>
  <w:num w:numId="9" w16cid:durableId="1522284675">
    <w:abstractNumId w:val="36"/>
  </w:num>
  <w:num w:numId="10" w16cid:durableId="1258907739">
    <w:abstractNumId w:val="6"/>
  </w:num>
  <w:num w:numId="11" w16cid:durableId="1866602296">
    <w:abstractNumId w:val="59"/>
  </w:num>
  <w:num w:numId="12" w16cid:durableId="872883717">
    <w:abstractNumId w:val="43"/>
  </w:num>
  <w:num w:numId="13" w16cid:durableId="489491498">
    <w:abstractNumId w:val="34"/>
  </w:num>
  <w:num w:numId="14" w16cid:durableId="27800098">
    <w:abstractNumId w:val="5"/>
  </w:num>
  <w:num w:numId="15" w16cid:durableId="1579092266">
    <w:abstractNumId w:val="51"/>
  </w:num>
  <w:num w:numId="16" w16cid:durableId="1672636787">
    <w:abstractNumId w:val="8"/>
  </w:num>
  <w:num w:numId="17" w16cid:durableId="1025518140">
    <w:abstractNumId w:val="55"/>
  </w:num>
  <w:num w:numId="18" w16cid:durableId="1711491104">
    <w:abstractNumId w:val="44"/>
  </w:num>
  <w:num w:numId="19" w16cid:durableId="1115977643">
    <w:abstractNumId w:val="29"/>
  </w:num>
  <w:num w:numId="20" w16cid:durableId="2029063295">
    <w:abstractNumId w:val="11"/>
  </w:num>
  <w:num w:numId="21" w16cid:durableId="1506286593">
    <w:abstractNumId w:val="14"/>
  </w:num>
  <w:num w:numId="22" w16cid:durableId="424887116">
    <w:abstractNumId w:val="52"/>
  </w:num>
  <w:num w:numId="23" w16cid:durableId="1031536640">
    <w:abstractNumId w:val="32"/>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8"/>
  </w:num>
  <w:num w:numId="26" w16cid:durableId="1852602584">
    <w:abstractNumId w:val="28"/>
  </w:num>
  <w:num w:numId="27" w16cid:durableId="1420516815">
    <w:abstractNumId w:val="28"/>
  </w:num>
  <w:num w:numId="28" w16cid:durableId="1160199736">
    <w:abstractNumId w:val="0"/>
  </w:num>
  <w:num w:numId="29" w16cid:durableId="1874537894">
    <w:abstractNumId w:val="75"/>
  </w:num>
  <w:num w:numId="30" w16cid:durableId="332757056">
    <w:abstractNumId w:val="58"/>
  </w:num>
  <w:num w:numId="31" w16cid:durableId="929393867">
    <w:abstractNumId w:val="15"/>
  </w:num>
  <w:num w:numId="32" w16cid:durableId="82456433">
    <w:abstractNumId w:val="45"/>
  </w:num>
  <w:num w:numId="33" w16cid:durableId="1266109118">
    <w:abstractNumId w:val="9"/>
  </w:num>
  <w:num w:numId="34" w16cid:durableId="1869677376">
    <w:abstractNumId w:val="73"/>
  </w:num>
  <w:num w:numId="35" w16cid:durableId="1450471578">
    <w:abstractNumId w:val="27"/>
  </w:num>
  <w:num w:numId="36" w16cid:durableId="1737898520">
    <w:abstractNumId w:val="74"/>
  </w:num>
  <w:num w:numId="37" w16cid:durableId="7204011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3"/>
  </w:num>
  <w:num w:numId="39" w16cid:durableId="388265492">
    <w:abstractNumId w:val="37"/>
  </w:num>
  <w:num w:numId="40" w16cid:durableId="2108573615">
    <w:abstractNumId w:val="28"/>
  </w:num>
  <w:num w:numId="41" w16cid:durableId="1083915559">
    <w:abstractNumId w:val="60"/>
  </w:num>
  <w:num w:numId="42" w16cid:durableId="1013142889">
    <w:abstractNumId w:val="28"/>
  </w:num>
  <w:num w:numId="43" w16cid:durableId="1900286869">
    <w:abstractNumId w:val="28"/>
  </w:num>
  <w:num w:numId="44" w16cid:durableId="717319588">
    <w:abstractNumId w:val="28"/>
  </w:num>
  <w:num w:numId="45" w16cid:durableId="129859372">
    <w:abstractNumId w:val="19"/>
  </w:num>
  <w:num w:numId="46" w16cid:durableId="1857229193">
    <w:abstractNumId w:val="40"/>
  </w:num>
  <w:num w:numId="47" w16cid:durableId="1297299387">
    <w:abstractNumId w:val="28"/>
  </w:num>
  <w:num w:numId="48" w16cid:durableId="1702389434">
    <w:abstractNumId w:val="40"/>
    <w:lvlOverride w:ilvl="0">
      <w:startOverride w:val="1"/>
    </w:lvlOverride>
  </w:num>
  <w:num w:numId="49" w16cid:durableId="1215852588">
    <w:abstractNumId w:val="20"/>
  </w:num>
  <w:num w:numId="50" w16cid:durableId="1356805918">
    <w:abstractNumId w:val="31"/>
  </w:num>
  <w:num w:numId="51" w16cid:durableId="621379240">
    <w:abstractNumId w:val="28"/>
  </w:num>
  <w:num w:numId="52" w16cid:durableId="1225486612">
    <w:abstractNumId w:val="40"/>
  </w:num>
  <w:num w:numId="53" w16cid:durableId="1124883403">
    <w:abstractNumId w:val="28"/>
  </w:num>
  <w:num w:numId="54" w16cid:durableId="1324897532">
    <w:abstractNumId w:val="40"/>
  </w:num>
  <w:num w:numId="55" w16cid:durableId="1925412892">
    <w:abstractNumId w:val="28"/>
  </w:num>
  <w:num w:numId="56" w16cid:durableId="824319759">
    <w:abstractNumId w:val="40"/>
    <w:lvlOverride w:ilvl="0">
      <w:startOverride w:val="1"/>
    </w:lvlOverride>
  </w:num>
  <w:num w:numId="57" w16cid:durableId="2141802537">
    <w:abstractNumId w:val="40"/>
  </w:num>
  <w:num w:numId="58" w16cid:durableId="443042114">
    <w:abstractNumId w:val="40"/>
    <w:lvlOverride w:ilvl="0">
      <w:startOverride w:val="1"/>
    </w:lvlOverride>
  </w:num>
  <w:num w:numId="59" w16cid:durableId="2013754555">
    <w:abstractNumId w:val="28"/>
  </w:num>
  <w:num w:numId="60" w16cid:durableId="1030885884">
    <w:abstractNumId w:val="40"/>
    <w:lvlOverride w:ilvl="0">
      <w:startOverride w:val="1"/>
    </w:lvlOverride>
  </w:num>
  <w:num w:numId="61" w16cid:durableId="922104095">
    <w:abstractNumId w:val="40"/>
    <w:lvlOverride w:ilvl="0">
      <w:startOverride w:val="1"/>
    </w:lvlOverride>
  </w:num>
  <w:num w:numId="62" w16cid:durableId="258873928">
    <w:abstractNumId w:val="40"/>
  </w:num>
  <w:num w:numId="63" w16cid:durableId="886065078">
    <w:abstractNumId w:val="40"/>
  </w:num>
  <w:num w:numId="64" w16cid:durableId="642084446">
    <w:abstractNumId w:val="28"/>
  </w:num>
  <w:num w:numId="65" w16cid:durableId="923345363">
    <w:abstractNumId w:val="28"/>
  </w:num>
  <w:num w:numId="66" w16cid:durableId="323365687">
    <w:abstractNumId w:val="40"/>
    <w:lvlOverride w:ilvl="0">
      <w:startOverride w:val="1"/>
    </w:lvlOverride>
  </w:num>
  <w:num w:numId="67" w16cid:durableId="102964894">
    <w:abstractNumId w:val="57"/>
  </w:num>
  <w:num w:numId="68" w16cid:durableId="1316303987">
    <w:abstractNumId w:val="28"/>
  </w:num>
  <w:num w:numId="69" w16cid:durableId="124854967">
    <w:abstractNumId w:val="71"/>
  </w:num>
  <w:num w:numId="70" w16cid:durableId="1429500275">
    <w:abstractNumId w:val="28"/>
  </w:num>
  <w:num w:numId="71" w16cid:durableId="1188835170">
    <w:abstractNumId w:val="40"/>
  </w:num>
  <w:num w:numId="72" w16cid:durableId="1427968080">
    <w:abstractNumId w:val="18"/>
  </w:num>
  <w:num w:numId="73" w16cid:durableId="1171602972">
    <w:abstractNumId w:val="22"/>
  </w:num>
  <w:num w:numId="74" w16cid:durableId="1561017895">
    <w:abstractNumId w:val="42"/>
  </w:num>
  <w:num w:numId="75" w16cid:durableId="813064567">
    <w:abstractNumId w:val="42"/>
  </w:num>
  <w:num w:numId="76" w16cid:durableId="859926733">
    <w:abstractNumId w:val="40"/>
    <w:lvlOverride w:ilvl="0">
      <w:startOverride w:val="1"/>
    </w:lvlOverride>
  </w:num>
  <w:num w:numId="77" w16cid:durableId="1543441965">
    <w:abstractNumId w:val="28"/>
  </w:num>
  <w:num w:numId="78" w16cid:durableId="518858588">
    <w:abstractNumId w:val="28"/>
  </w:num>
  <w:num w:numId="79" w16cid:durableId="2109811805">
    <w:abstractNumId w:val="40"/>
  </w:num>
  <w:num w:numId="80" w16cid:durableId="1716345119">
    <w:abstractNumId w:val="40"/>
  </w:num>
  <w:num w:numId="81" w16cid:durableId="1088422651">
    <w:abstractNumId w:val="40"/>
    <w:lvlOverride w:ilvl="0">
      <w:startOverride w:val="1"/>
    </w:lvlOverride>
  </w:num>
  <w:num w:numId="82" w16cid:durableId="2081370552">
    <w:abstractNumId w:val="12"/>
  </w:num>
  <w:num w:numId="83" w16cid:durableId="1726250580">
    <w:abstractNumId w:val="42"/>
  </w:num>
  <w:num w:numId="84" w16cid:durableId="1119492759">
    <w:abstractNumId w:val="35"/>
  </w:num>
  <w:num w:numId="85" w16cid:durableId="271010330">
    <w:abstractNumId w:val="50"/>
  </w:num>
  <w:num w:numId="86" w16cid:durableId="944115728">
    <w:abstractNumId w:val="66"/>
  </w:num>
  <w:num w:numId="87" w16cid:durableId="127548695">
    <w:abstractNumId w:val="13"/>
  </w:num>
  <w:num w:numId="88" w16cid:durableId="400950542">
    <w:abstractNumId w:val="23"/>
  </w:num>
  <w:num w:numId="89" w16cid:durableId="957760164">
    <w:abstractNumId w:val="40"/>
  </w:num>
  <w:num w:numId="90" w16cid:durableId="1014303467">
    <w:abstractNumId w:val="40"/>
  </w:num>
  <w:num w:numId="91" w16cid:durableId="1902903725">
    <w:abstractNumId w:val="40"/>
    <w:lvlOverride w:ilvl="0">
      <w:startOverride w:val="1"/>
    </w:lvlOverride>
  </w:num>
  <w:num w:numId="92" w16cid:durableId="2072919736">
    <w:abstractNumId w:val="64"/>
  </w:num>
  <w:num w:numId="93" w16cid:durableId="972292152">
    <w:abstractNumId w:val="61"/>
  </w:num>
  <w:num w:numId="94" w16cid:durableId="763261688">
    <w:abstractNumId w:val="24"/>
  </w:num>
  <w:num w:numId="95" w16cid:durableId="687753154">
    <w:abstractNumId w:val="54"/>
  </w:num>
  <w:num w:numId="96" w16cid:durableId="1128085364">
    <w:abstractNumId w:val="25"/>
  </w:num>
  <w:num w:numId="97" w16cid:durableId="769473872">
    <w:abstractNumId w:val="40"/>
    <w:lvlOverride w:ilvl="0">
      <w:startOverride w:val="1"/>
    </w:lvlOverride>
  </w:num>
  <w:num w:numId="98" w16cid:durableId="1491749737">
    <w:abstractNumId w:val="40"/>
    <w:lvlOverride w:ilvl="0">
      <w:startOverride w:val="1"/>
    </w:lvlOverride>
  </w:num>
  <w:num w:numId="99" w16cid:durableId="1729575072">
    <w:abstractNumId w:val="26"/>
  </w:num>
  <w:num w:numId="100" w16cid:durableId="2008484479">
    <w:abstractNumId w:val="67"/>
  </w:num>
  <w:num w:numId="101" w16cid:durableId="505486484">
    <w:abstractNumId w:val="40"/>
    <w:lvlOverride w:ilvl="0">
      <w:startOverride w:val="1"/>
    </w:lvlOverride>
  </w:num>
  <w:num w:numId="102" w16cid:durableId="942037303">
    <w:abstractNumId w:val="68"/>
  </w:num>
  <w:num w:numId="103" w16cid:durableId="1338465739">
    <w:abstractNumId w:val="3"/>
  </w:num>
  <w:num w:numId="104" w16cid:durableId="527376608">
    <w:abstractNumId w:val="4"/>
  </w:num>
  <w:num w:numId="105" w16cid:durableId="797449866">
    <w:abstractNumId w:val="49"/>
  </w:num>
  <w:num w:numId="106" w16cid:durableId="717894261">
    <w:abstractNumId w:val="62"/>
  </w:num>
  <w:num w:numId="107" w16cid:durableId="1138566555">
    <w:abstractNumId w:val="28"/>
  </w:num>
  <w:num w:numId="108" w16cid:durableId="1995261315">
    <w:abstractNumId w:val="2"/>
  </w:num>
  <w:num w:numId="109" w16cid:durableId="2087070086">
    <w:abstractNumId w:val="28"/>
  </w:num>
  <w:num w:numId="110" w16cid:durableId="199124152">
    <w:abstractNumId w:val="28"/>
  </w:num>
  <w:num w:numId="111" w16cid:durableId="779572664">
    <w:abstractNumId w:val="28"/>
  </w:num>
  <w:num w:numId="112" w16cid:durableId="14381406">
    <w:abstractNumId w:val="28"/>
  </w:num>
  <w:num w:numId="113" w16cid:durableId="1858152995">
    <w:abstractNumId w:val="28"/>
  </w:num>
  <w:num w:numId="114" w16cid:durableId="1631397795">
    <w:abstractNumId w:val="28"/>
  </w:num>
  <w:num w:numId="115" w16cid:durableId="2024700078">
    <w:abstractNumId w:val="28"/>
  </w:num>
  <w:num w:numId="116" w16cid:durableId="1339389085">
    <w:abstractNumId w:val="28"/>
  </w:num>
  <w:num w:numId="117" w16cid:durableId="1587493894">
    <w:abstractNumId w:val="40"/>
  </w:num>
  <w:num w:numId="118" w16cid:durableId="1230459330">
    <w:abstractNumId w:val="40"/>
  </w:num>
  <w:num w:numId="119" w16cid:durableId="2044938872">
    <w:abstractNumId w:val="40"/>
  </w:num>
  <w:num w:numId="120" w16cid:durableId="857355061">
    <w:abstractNumId w:val="40"/>
  </w:num>
  <w:num w:numId="121" w16cid:durableId="1895920272">
    <w:abstractNumId w:val="40"/>
  </w:num>
  <w:num w:numId="122" w16cid:durableId="1886722536">
    <w:abstractNumId w:val="40"/>
  </w:num>
  <w:num w:numId="123" w16cid:durableId="674460444">
    <w:abstractNumId w:val="28"/>
  </w:num>
  <w:num w:numId="124" w16cid:durableId="1403137270">
    <w:abstractNumId w:val="28"/>
  </w:num>
  <w:num w:numId="125" w16cid:durableId="1515456869">
    <w:abstractNumId w:val="40"/>
    <w:lvlOverride w:ilvl="0">
      <w:startOverride w:val="1"/>
    </w:lvlOverride>
  </w:num>
  <w:num w:numId="126" w16cid:durableId="778725156">
    <w:abstractNumId w:val="28"/>
  </w:num>
  <w:num w:numId="127" w16cid:durableId="1755348867">
    <w:abstractNumId w:val="40"/>
  </w:num>
  <w:num w:numId="128" w16cid:durableId="1377967762">
    <w:abstractNumId w:val="28"/>
  </w:num>
  <w:num w:numId="129" w16cid:durableId="823930534">
    <w:abstractNumId w:val="40"/>
  </w:num>
  <w:num w:numId="130" w16cid:durableId="755709714">
    <w:abstractNumId w:val="40"/>
  </w:num>
  <w:num w:numId="131" w16cid:durableId="1105466938">
    <w:abstractNumId w:val="40"/>
  </w:num>
  <w:num w:numId="132" w16cid:durableId="824706388">
    <w:abstractNumId w:val="28"/>
  </w:num>
  <w:num w:numId="133" w16cid:durableId="468982534">
    <w:abstractNumId w:val="28"/>
  </w:num>
  <w:num w:numId="134" w16cid:durableId="68188698">
    <w:abstractNumId w:val="46"/>
  </w:num>
  <w:num w:numId="135" w16cid:durableId="242178418">
    <w:abstractNumId w:val="17"/>
  </w:num>
  <w:num w:numId="136" w16cid:durableId="236744396">
    <w:abstractNumId w:val="38"/>
  </w:num>
  <w:num w:numId="137" w16cid:durableId="1376807082">
    <w:abstractNumId w:val="28"/>
  </w:num>
  <w:num w:numId="138" w16cid:durableId="1368291634">
    <w:abstractNumId w:val="48"/>
  </w:num>
  <w:num w:numId="139" w16cid:durableId="499350162">
    <w:abstractNumId w:val="28"/>
  </w:num>
  <w:num w:numId="140" w16cid:durableId="766313792">
    <w:abstractNumId w:val="16"/>
  </w:num>
  <w:num w:numId="141" w16cid:durableId="2020348455">
    <w:abstractNumId w:val="40"/>
  </w:num>
  <w:num w:numId="142" w16cid:durableId="280771871">
    <w:abstractNumId w:val="40"/>
  </w:num>
  <w:num w:numId="143" w16cid:durableId="1735548963">
    <w:abstractNumId w:val="40"/>
  </w:num>
  <w:num w:numId="144" w16cid:durableId="240455088">
    <w:abstractNumId w:val="40"/>
  </w:num>
  <w:num w:numId="145" w16cid:durableId="2105489302">
    <w:abstractNumId w:val="28"/>
  </w:num>
  <w:num w:numId="146" w16cid:durableId="892698563">
    <w:abstractNumId w:val="28"/>
  </w:num>
  <w:num w:numId="147" w16cid:durableId="1482228724">
    <w:abstractNumId w:val="28"/>
  </w:num>
  <w:num w:numId="148" w16cid:durableId="369649992">
    <w:abstractNumId w:val="65"/>
  </w:num>
  <w:num w:numId="149" w16cid:durableId="1983382011">
    <w:abstractNumId w:val="28"/>
  </w:num>
  <w:num w:numId="150" w16cid:durableId="122886254">
    <w:abstractNumId w:val="69"/>
  </w:num>
  <w:num w:numId="151" w16cid:durableId="749036131">
    <w:abstractNumId w:val="40"/>
  </w:num>
  <w:num w:numId="152" w16cid:durableId="593897452">
    <w:abstractNumId w:val="40"/>
  </w:num>
  <w:num w:numId="153" w16cid:durableId="2135250984">
    <w:abstractNumId w:val="40"/>
    <w:lvlOverride w:ilvl="0">
      <w:startOverride w:val="1"/>
    </w:lvlOverride>
  </w:num>
  <w:num w:numId="154" w16cid:durableId="692730972">
    <w:abstractNumId w:val="7"/>
  </w:num>
  <w:num w:numId="155" w16cid:durableId="1028608717">
    <w:abstractNumId w:val="40"/>
  </w:num>
  <w:num w:numId="156" w16cid:durableId="1588265496">
    <w:abstractNumId w:val="72"/>
  </w:num>
  <w:num w:numId="157" w16cid:durableId="416757089">
    <w:abstractNumId w:val="40"/>
    <w:lvlOverride w:ilvl="0">
      <w:startOverride w:val="1"/>
    </w:lvlOverride>
  </w:num>
  <w:num w:numId="158" w16cid:durableId="909079773">
    <w:abstractNumId w:val="28"/>
  </w:num>
  <w:num w:numId="159" w16cid:durableId="95102831">
    <w:abstractNumId w:val="40"/>
    <w:lvlOverride w:ilvl="0">
      <w:startOverride w:val="1"/>
    </w:lvlOverride>
  </w:num>
  <w:num w:numId="160" w16cid:durableId="1196507443">
    <w:abstractNumId w:val="47"/>
  </w:num>
  <w:num w:numId="161" w16cid:durableId="1877616502">
    <w:abstractNumId w:val="41"/>
  </w:num>
  <w:num w:numId="162" w16cid:durableId="2070299708">
    <w:abstractNumId w:val="28"/>
  </w:num>
  <w:num w:numId="163" w16cid:durableId="171990148">
    <w:abstractNumId w:val="28"/>
  </w:num>
  <w:num w:numId="164" w16cid:durableId="1492406962">
    <w:abstractNumId w:val="28"/>
  </w:num>
  <w:num w:numId="165" w16cid:durableId="904295025">
    <w:abstractNumId w:val="28"/>
  </w:num>
  <w:num w:numId="166" w16cid:durableId="679695891">
    <w:abstractNumId w:val="28"/>
  </w:num>
  <w:num w:numId="167" w16cid:durableId="2116173026">
    <w:abstractNumId w:val="4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36"/>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3D9"/>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1441</Words>
  <Characters>9110</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cp:revision>
  <cp:lastPrinted>2016-01-11T02:35:00Z</cp:lastPrinted>
  <dcterms:created xsi:type="dcterms:W3CDTF">2025-10-01T15:10:00Z</dcterms:created>
  <dcterms:modified xsi:type="dcterms:W3CDTF">2025-10-03T04:28:00Z</dcterms:modified>
</cp:coreProperties>
</file>